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D4" w:rsidRPr="000409D4" w:rsidRDefault="000409D4" w:rsidP="000409D4">
      <w:pPr>
        <w:spacing w:after="0" w:line="240" w:lineRule="auto"/>
        <w:ind w:left="-993"/>
        <w:contextualSpacing/>
        <w:jc w:val="center"/>
        <w:rPr>
          <w:rFonts w:ascii="Algerian" w:hAnsi="Algerian" w:cs="Times New Roman"/>
          <w:b/>
          <w:color w:val="1F4E79" w:themeColor="accent1" w:themeShade="80"/>
          <w:sz w:val="56"/>
          <w:szCs w:val="56"/>
        </w:rPr>
      </w:pPr>
      <w:r>
        <w:rPr>
          <w:rFonts w:ascii="Cambria" w:hAnsi="Cambria" w:cs="Cambria"/>
          <w:b/>
          <w:color w:val="1F4E79" w:themeColor="accent1" w:themeShade="80"/>
          <w:sz w:val="56"/>
          <w:szCs w:val="56"/>
        </w:rPr>
        <w:t>Работа по социально-экономической защите членов профсоюза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Проведение совместно с органами государственного управления, нанимателями мероприятий по информированию трудовых коллективов о текущей экономической ситуации в стране и принимаемых мерах по социальной защите населения.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Осуществление контроля выполнения социальными партнерами договоренностей, принятых в рамках Генерального, тарифных и местных соглашений, коллективных договоров.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Анализ и подведение итогов выполнения областного Соглашения.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Создание электронного реестра коллективных договоров. Экспертиза коллективных договоров на стадии разработки, при внесении изменений и дополнений в КД. Контроль за принятием, выполнением коллективных договоров в организациях. 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Организация и проведение смотра-конкурса на лучший коллективный договор.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Осуществление общественного контроля за соблюдением нанимателями социально-экономических прав и законных интересов членов профсоюза, социальных гарантий, оплаты труда, нормирования труда, режима труда и отдыха, соблюдения внутрипрофсоюзной дисциплины, исполнения законодательства в организациях, находящихся на профобслуживании в обкоме.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Оказание организационно-методической помощи отдельным организациям при разработке и внедрении гибких систем стимулирования оплаты труда работников.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Принятие мер по обеспечению полной и своевременной выплаты заработной платы, иных выплат, причитающихся работникам, отчислений на государственное социальное (в том числе пенсионное) страхование в организациях всех форм собственности.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Проведение ежемесячного анализа уровня заработной платы в разрезе учреждений области, в том числе по врачам и среднему медицинскому персоналу. Проведение «горячих линий» по вопросам оплаты труда и применения законодательства.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Рассмотрение обращений граждан по социально-экономическим вопросам, в том числе на личном приеме. Разъяснения по запросам организаций и профкомов по социально-экономическим вопросам.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Мониторинг лекарственных средств в аптечной сети области.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Анализ временной нетрудоспособности среди медицинских работников в разрезе учреждений области по кварталам и за год.</w:t>
      </w:r>
    </w:p>
    <w:p w:rsidR="000409D4" w:rsidRPr="000409D4" w:rsidRDefault="000409D4" w:rsidP="000409D4">
      <w:pPr>
        <w:pStyle w:val="a4"/>
        <w:numPr>
          <w:ilvl w:val="0"/>
          <w:numId w:val="3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0409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Участие в обучающих семинарах/выступления на семинарах, в т.ч. для профсоюзного актива и для специалистов бухгалтерско-экономической службы. Участие в отчетных профсоюзных собраниях.</w:t>
      </w:r>
      <w:bookmarkStart w:id="0" w:name="_GoBack"/>
      <w:bookmarkEnd w:id="0"/>
    </w:p>
    <w:sectPr w:rsidR="000409D4" w:rsidRPr="000409D4" w:rsidSect="00CF00CC">
      <w:pgSz w:w="11906" w:h="16838"/>
      <w:pgMar w:top="709" w:right="850" w:bottom="142" w:left="1701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705"/>
    <w:multiLevelType w:val="hybridMultilevel"/>
    <w:tmpl w:val="8BB4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5D2A"/>
    <w:multiLevelType w:val="hybridMultilevel"/>
    <w:tmpl w:val="AC0A695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04"/>
    <w:rsid w:val="000409D4"/>
    <w:rsid w:val="000847AB"/>
    <w:rsid w:val="001A34FF"/>
    <w:rsid w:val="00267105"/>
    <w:rsid w:val="00292C21"/>
    <w:rsid w:val="002E2888"/>
    <w:rsid w:val="004A4114"/>
    <w:rsid w:val="00564304"/>
    <w:rsid w:val="006016AD"/>
    <w:rsid w:val="006D18B1"/>
    <w:rsid w:val="00957FC4"/>
    <w:rsid w:val="00BF25B5"/>
    <w:rsid w:val="00C438B9"/>
    <w:rsid w:val="00DC2178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44D3"/>
  <w15:chartTrackingRefBased/>
  <w15:docId w15:val="{9C358475-C094-4F81-8AC9-C15F8EDF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9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09D4"/>
    <w:pPr>
      <w:ind w:left="720"/>
      <w:contextualSpacing/>
    </w:pPr>
  </w:style>
  <w:style w:type="table" w:styleId="a5">
    <w:name w:val="Table Grid"/>
    <w:basedOn w:val="a1"/>
    <w:uiPriority w:val="39"/>
    <w:rsid w:val="0004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2022-06-29T13:20:00Z</dcterms:created>
  <dcterms:modified xsi:type="dcterms:W3CDTF">2022-06-29T13:22:00Z</dcterms:modified>
</cp:coreProperties>
</file>